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90" w:rsidRDefault="006B5E90" w:rsidP="006B5E90">
      <w:pPr>
        <w:jc w:val="center"/>
        <w:rPr>
          <w:sz w:val="28"/>
          <w:szCs w:val="28"/>
        </w:rPr>
      </w:pPr>
      <w:r>
        <w:rPr>
          <w:sz w:val="36"/>
          <w:szCs w:val="36"/>
        </w:rPr>
        <w:t>“Through the Tunnel” Questions</w:t>
      </w:r>
    </w:p>
    <w:p w:rsidR="006B5E90" w:rsidRDefault="006B5E90" w:rsidP="006B5E90">
      <w:pPr>
        <w:jc w:val="center"/>
        <w:rPr>
          <w:sz w:val="28"/>
          <w:szCs w:val="28"/>
        </w:rPr>
      </w:pPr>
    </w:p>
    <w:p w:rsidR="006B5E90" w:rsidRDefault="006B5E90" w:rsidP="006B5E9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As a refresher course, write down one example for each of the following literary elements as you read.  Use an exact quote.</w:t>
      </w:r>
    </w:p>
    <w:p w:rsidR="006B5E90" w:rsidRDefault="006B5E90" w:rsidP="006B5E90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imagery</w:t>
      </w:r>
    </w:p>
    <w:p w:rsidR="006B5E90" w:rsidRDefault="006B5E90" w:rsidP="006B5E90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simile</w:t>
      </w:r>
    </w:p>
    <w:p w:rsidR="006B5E90" w:rsidRDefault="006B5E90" w:rsidP="006B5E90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setting (write one detail that helps to create the setting)</w:t>
      </w:r>
    </w:p>
    <w:p w:rsidR="006B5E90" w:rsidRDefault="006B5E90" w:rsidP="006B5E90">
      <w:pPr>
        <w:rPr>
          <w:sz w:val="28"/>
          <w:szCs w:val="28"/>
        </w:rPr>
      </w:pPr>
    </w:p>
    <w:p w:rsidR="00EE18FC" w:rsidRDefault="00EA6A39" w:rsidP="006B5E9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Through the Tunnel’s theme is </w:t>
      </w:r>
    </w:p>
    <w:p w:rsidR="00EE18FC" w:rsidRPr="00EE18FC" w:rsidRDefault="00EE18FC" w:rsidP="00EE18FC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a.</w:t>
      </w:r>
      <w:r w:rsidRPr="00EE18FC">
        <w:t xml:space="preserve"> </w:t>
      </w:r>
      <w:r w:rsidRPr="00EE18FC">
        <w:rPr>
          <w:sz w:val="28"/>
          <w:szCs w:val="28"/>
        </w:rPr>
        <w:t>Fear of failure</w:t>
      </w:r>
      <w:r>
        <w:rPr>
          <w:sz w:val="28"/>
          <w:szCs w:val="28"/>
        </w:rPr>
        <w:tab/>
        <w:t xml:space="preserve">b. </w:t>
      </w:r>
      <w:r w:rsidRPr="00EE18FC">
        <w:rPr>
          <w:sz w:val="28"/>
          <w:szCs w:val="28"/>
        </w:rPr>
        <w:t>Family – blessing or curse</w:t>
      </w:r>
    </w:p>
    <w:p w:rsidR="00EE18FC" w:rsidRDefault="00EE18FC" w:rsidP="00EE18FC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Pr="00EE18FC">
        <w:rPr>
          <w:sz w:val="28"/>
          <w:szCs w:val="28"/>
        </w:rPr>
        <w:t>Fate and free will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d. Coming of Age Piece</w:t>
      </w:r>
    </w:p>
    <w:p w:rsidR="00EE18FC" w:rsidRDefault="00EE18FC" w:rsidP="00EE18FC">
      <w:pPr>
        <w:spacing w:after="0" w:line="240" w:lineRule="auto"/>
        <w:ind w:left="720"/>
        <w:rPr>
          <w:sz w:val="28"/>
          <w:szCs w:val="28"/>
        </w:rPr>
      </w:pPr>
    </w:p>
    <w:p w:rsidR="006B5E90" w:rsidRDefault="006B5E90" w:rsidP="006B5E9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A3398">
        <w:rPr>
          <w:sz w:val="28"/>
          <w:szCs w:val="28"/>
        </w:rPr>
        <w:t xml:space="preserve">Look only at the </w:t>
      </w:r>
      <w:r w:rsidR="00EA6A39" w:rsidRPr="004A3398">
        <w:rPr>
          <w:sz w:val="28"/>
          <w:szCs w:val="28"/>
        </w:rPr>
        <w:t>first page</w:t>
      </w:r>
      <w:r w:rsidRPr="004A3398">
        <w:rPr>
          <w:sz w:val="28"/>
          <w:szCs w:val="28"/>
        </w:rPr>
        <w:t>.  List as many details from this page as you can that s</w:t>
      </w:r>
      <w:r w:rsidR="00EA6A39" w:rsidRPr="004A3398">
        <w:rPr>
          <w:sz w:val="28"/>
          <w:szCs w:val="28"/>
        </w:rPr>
        <w:t>how “Through the Tunnel”</w:t>
      </w:r>
      <w:r w:rsidR="004A3398" w:rsidRPr="004A3398">
        <w:rPr>
          <w:sz w:val="28"/>
          <w:szCs w:val="28"/>
        </w:rPr>
        <w:t xml:space="preserve"> to be the theme that you chose in the above question. </w:t>
      </w:r>
    </w:p>
    <w:p w:rsidR="004A3398" w:rsidRPr="004A3398" w:rsidRDefault="004A3398" w:rsidP="004A3398">
      <w:pPr>
        <w:spacing w:after="0" w:line="240" w:lineRule="auto"/>
        <w:ind w:left="720"/>
        <w:rPr>
          <w:sz w:val="28"/>
          <w:szCs w:val="28"/>
        </w:rPr>
      </w:pPr>
    </w:p>
    <w:p w:rsidR="006B5E90" w:rsidRDefault="006B5E90" w:rsidP="006B5E9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main </w:t>
      </w:r>
      <w:proofErr w:type="spellStart"/>
      <w:proofErr w:type="gramStart"/>
      <w:r>
        <w:rPr>
          <w:sz w:val="28"/>
          <w:szCs w:val="28"/>
        </w:rPr>
        <w:t>characterJerry</w:t>
      </w:r>
      <w:proofErr w:type="spellEnd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does several childish things in the story, as well as several more adult things.  As you read, use the table on the back page and keep a running list of his childish and adult actions.  Include page numbers.</w:t>
      </w:r>
    </w:p>
    <w:p w:rsidR="006B5E90" w:rsidRDefault="006B5E90" w:rsidP="006B5E90">
      <w:pPr>
        <w:rPr>
          <w:sz w:val="28"/>
          <w:szCs w:val="28"/>
        </w:rPr>
      </w:pPr>
    </w:p>
    <w:p w:rsidR="006B5E90" w:rsidRDefault="006B5E90" w:rsidP="006B5E9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 said that coming-of-age stories usually involve some sort of trial that the protagonist must face.  What is Jerry’s trial?</w:t>
      </w:r>
    </w:p>
    <w:p w:rsidR="006B5E90" w:rsidRDefault="006B5E90" w:rsidP="006B5E90">
      <w:pPr>
        <w:rPr>
          <w:sz w:val="28"/>
          <w:szCs w:val="28"/>
        </w:rPr>
      </w:pPr>
    </w:p>
    <w:p w:rsidR="006B5E90" w:rsidRDefault="006B5E90" w:rsidP="006B5E9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 said that coming-of-age stories usually involve a loss of innocence.  What might we consider Jerry’s loss of innocence?  (</w:t>
      </w:r>
      <w:r>
        <w:rPr>
          <w:i/>
          <w:sz w:val="28"/>
          <w:szCs w:val="28"/>
        </w:rPr>
        <w:t>This is tricky.  I don’t really expect you to get it, but take a shot at it.</w:t>
      </w:r>
      <w:r>
        <w:rPr>
          <w:sz w:val="28"/>
          <w:szCs w:val="28"/>
        </w:rPr>
        <w:t xml:space="preserve">)  </w:t>
      </w:r>
    </w:p>
    <w:p w:rsidR="006B5E90" w:rsidRDefault="006B5E90" w:rsidP="006B5E90">
      <w:pPr>
        <w:ind w:left="360"/>
        <w:rPr>
          <w:sz w:val="28"/>
          <w:szCs w:val="28"/>
        </w:rPr>
      </w:pPr>
    </w:p>
    <w:p w:rsidR="006B5E90" w:rsidRDefault="006B5E90" w:rsidP="006B5E9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Coming-of-age stories usually end with some sort of symbolic object or act that the protagonist has matured.  While Jerry, as an 11-year-old, is not fully mature, he still does something near the end of the story that shows he has grown up.  What does he say/do that indicates that he has come of age?</w:t>
      </w:r>
    </w:p>
    <w:p w:rsidR="006B5E90" w:rsidRDefault="006B5E90" w:rsidP="006B5E90">
      <w:pPr>
        <w:ind w:left="360"/>
        <w:jc w:val="center"/>
        <w:rPr>
          <w:rFonts w:ascii="Script MT Bold" w:hAnsi="Script MT Bold"/>
          <w:sz w:val="52"/>
          <w:szCs w:val="52"/>
        </w:rPr>
      </w:pPr>
      <w:r>
        <w:rPr>
          <w:rFonts w:ascii="Script MT Bold" w:hAnsi="Script MT Bold"/>
          <w:sz w:val="52"/>
          <w:szCs w:val="52"/>
        </w:rPr>
        <w:lastRenderedPageBreak/>
        <w:t>Jerry’s Actions</w:t>
      </w:r>
    </w:p>
    <w:p w:rsidR="006B5E90" w:rsidRDefault="006B5E90" w:rsidP="006B5E90">
      <w:pPr>
        <w:ind w:left="360"/>
        <w:jc w:val="center"/>
        <w:rPr>
          <w:rFonts w:ascii="Script MT Bold" w:hAnsi="Script MT Bold"/>
          <w:sz w:val="24"/>
          <w:szCs w:val="24"/>
        </w:rPr>
      </w:pPr>
    </w:p>
    <w:tbl>
      <w:tblPr>
        <w:tblStyle w:val="TableGrid"/>
        <w:tblW w:w="5000" w:type="pct"/>
        <w:tblInd w:w="0" w:type="dxa"/>
        <w:tblLook w:val="01E0" w:firstRow="1" w:lastRow="1" w:firstColumn="1" w:lastColumn="1" w:noHBand="0" w:noVBand="0"/>
      </w:tblPr>
      <w:tblGrid>
        <w:gridCol w:w="4788"/>
        <w:gridCol w:w="4788"/>
      </w:tblGrid>
      <w:tr w:rsidR="006B5E90" w:rsidTr="006B5E9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90" w:rsidRDefault="006B5E90">
            <w:pPr>
              <w:jc w:val="center"/>
              <w:rPr>
                <w:rFonts w:ascii="Albertus Extra Bold" w:hAnsi="Albertus Extra Bold"/>
                <w:sz w:val="24"/>
                <w:szCs w:val="24"/>
                <w:u w:val="single"/>
              </w:rPr>
            </w:pPr>
            <w:r>
              <w:rPr>
                <w:rFonts w:ascii="Albertus Extra Bold" w:hAnsi="Albertus Extra Bold"/>
                <w:u w:val="single"/>
              </w:rPr>
              <w:t>Childish Actions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90" w:rsidRDefault="006B5E90">
            <w:pPr>
              <w:jc w:val="center"/>
              <w:rPr>
                <w:rFonts w:ascii="Albertus Extra Bold" w:hAnsi="Albertus Extra Bold"/>
                <w:sz w:val="24"/>
                <w:szCs w:val="24"/>
                <w:u w:val="single"/>
              </w:rPr>
            </w:pPr>
            <w:r>
              <w:rPr>
                <w:rFonts w:ascii="Albertus Extra Bold" w:hAnsi="Albertus Extra Bold"/>
                <w:u w:val="single"/>
              </w:rPr>
              <w:t>Adult Actions</w:t>
            </w:r>
          </w:p>
        </w:tc>
      </w:tr>
      <w:tr w:rsidR="006B5E90" w:rsidTr="006B5E9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0" w:rsidRDefault="006B5E90">
            <w:pPr>
              <w:jc w:val="center"/>
              <w:rPr>
                <w:rFonts w:ascii="Script MT Bold" w:hAnsi="Script MT Bold"/>
                <w:sz w:val="24"/>
                <w:szCs w:val="24"/>
              </w:rPr>
            </w:pPr>
          </w:p>
          <w:p w:rsidR="006B5E90" w:rsidRDefault="006B5E90">
            <w:pPr>
              <w:rPr>
                <w:rFonts w:ascii="Script MT Bold" w:hAnsi="Script MT Bold"/>
              </w:rPr>
            </w:pPr>
            <w:r>
              <w:rPr>
                <w:rFonts w:ascii="Bickley Script" w:hAnsi="Bickley Script"/>
                <w:sz w:val="40"/>
                <w:szCs w:val="40"/>
              </w:rPr>
              <w:t>When she asks if he would rather not walk with her, Jerry runs after his mother to catch up.  (Pg. 202)</w:t>
            </w:r>
          </w:p>
          <w:p w:rsidR="006B5E90" w:rsidRDefault="006B5E90">
            <w:pPr>
              <w:jc w:val="center"/>
              <w:rPr>
                <w:rFonts w:ascii="Script MT Bold" w:hAnsi="Script MT Bold"/>
              </w:rPr>
            </w:pPr>
          </w:p>
          <w:p w:rsidR="006B5E90" w:rsidRDefault="006B5E90">
            <w:pPr>
              <w:jc w:val="center"/>
              <w:rPr>
                <w:rFonts w:ascii="Script MT Bold" w:hAnsi="Script MT Bold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0" w:rsidRDefault="006B5E90">
            <w:pPr>
              <w:jc w:val="center"/>
              <w:rPr>
                <w:rFonts w:ascii="Script MT Bold" w:hAnsi="Script MT Bold"/>
                <w:sz w:val="24"/>
                <w:szCs w:val="24"/>
              </w:rPr>
            </w:pPr>
          </w:p>
        </w:tc>
      </w:tr>
      <w:tr w:rsidR="006B5E90" w:rsidTr="006B5E9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0" w:rsidRDefault="006B5E90">
            <w:pPr>
              <w:jc w:val="center"/>
              <w:rPr>
                <w:rFonts w:ascii="Script MT Bold" w:hAnsi="Script MT Bold"/>
                <w:sz w:val="24"/>
                <w:szCs w:val="24"/>
              </w:rPr>
            </w:pPr>
          </w:p>
          <w:p w:rsidR="006B5E90" w:rsidRDefault="006B5E90">
            <w:pPr>
              <w:jc w:val="center"/>
              <w:rPr>
                <w:rFonts w:ascii="Script MT Bold" w:hAnsi="Script MT Bold"/>
              </w:rPr>
            </w:pPr>
          </w:p>
          <w:p w:rsidR="006B5E90" w:rsidRDefault="006B5E90">
            <w:pPr>
              <w:jc w:val="center"/>
              <w:rPr>
                <w:rFonts w:ascii="Script MT Bold" w:hAnsi="Script MT Bold"/>
              </w:rPr>
            </w:pPr>
          </w:p>
          <w:p w:rsidR="006B5E90" w:rsidRDefault="006B5E90">
            <w:pPr>
              <w:jc w:val="center"/>
              <w:rPr>
                <w:rFonts w:ascii="Script MT Bold" w:hAnsi="Script MT Bold"/>
              </w:rPr>
            </w:pPr>
          </w:p>
          <w:p w:rsidR="006B5E90" w:rsidRDefault="006B5E90">
            <w:pPr>
              <w:jc w:val="center"/>
              <w:rPr>
                <w:rFonts w:ascii="Script MT Bold" w:hAnsi="Script MT Bold"/>
              </w:rPr>
            </w:pPr>
          </w:p>
          <w:p w:rsidR="006B5E90" w:rsidRDefault="006B5E90">
            <w:pPr>
              <w:jc w:val="center"/>
              <w:rPr>
                <w:rFonts w:ascii="Script MT Bold" w:hAnsi="Script MT Bold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0" w:rsidRDefault="006B5E90">
            <w:pPr>
              <w:jc w:val="center"/>
              <w:rPr>
                <w:rFonts w:ascii="Script MT Bold" w:hAnsi="Script MT Bold"/>
                <w:sz w:val="24"/>
                <w:szCs w:val="24"/>
              </w:rPr>
            </w:pPr>
          </w:p>
        </w:tc>
      </w:tr>
      <w:tr w:rsidR="006B5E90" w:rsidTr="006B5E9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0" w:rsidRDefault="006B5E90">
            <w:pPr>
              <w:jc w:val="center"/>
              <w:rPr>
                <w:rFonts w:ascii="Script MT Bold" w:hAnsi="Script MT Bold"/>
                <w:sz w:val="24"/>
                <w:szCs w:val="24"/>
              </w:rPr>
            </w:pPr>
          </w:p>
          <w:p w:rsidR="006B5E90" w:rsidRDefault="006B5E90">
            <w:pPr>
              <w:jc w:val="center"/>
              <w:rPr>
                <w:rFonts w:ascii="Script MT Bold" w:hAnsi="Script MT Bold"/>
              </w:rPr>
            </w:pPr>
          </w:p>
          <w:p w:rsidR="006B5E90" w:rsidRDefault="006B5E90">
            <w:pPr>
              <w:jc w:val="center"/>
              <w:rPr>
                <w:rFonts w:ascii="Script MT Bold" w:hAnsi="Script MT Bold"/>
              </w:rPr>
            </w:pPr>
          </w:p>
          <w:p w:rsidR="006B5E90" w:rsidRDefault="006B5E90">
            <w:pPr>
              <w:jc w:val="center"/>
              <w:rPr>
                <w:rFonts w:ascii="Script MT Bold" w:hAnsi="Script MT Bold"/>
              </w:rPr>
            </w:pPr>
          </w:p>
          <w:p w:rsidR="006B5E90" w:rsidRDefault="006B5E90">
            <w:pPr>
              <w:jc w:val="center"/>
              <w:rPr>
                <w:rFonts w:ascii="Script MT Bold" w:hAnsi="Script MT Bold"/>
              </w:rPr>
            </w:pPr>
          </w:p>
          <w:p w:rsidR="006B5E90" w:rsidRDefault="006B5E90">
            <w:pPr>
              <w:jc w:val="center"/>
              <w:rPr>
                <w:rFonts w:ascii="Script MT Bold" w:hAnsi="Script MT Bold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0" w:rsidRDefault="006B5E90">
            <w:pPr>
              <w:jc w:val="center"/>
              <w:rPr>
                <w:rFonts w:ascii="Script MT Bold" w:hAnsi="Script MT Bold"/>
                <w:sz w:val="24"/>
                <w:szCs w:val="24"/>
              </w:rPr>
            </w:pPr>
          </w:p>
        </w:tc>
      </w:tr>
      <w:tr w:rsidR="006B5E90" w:rsidTr="006B5E9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0" w:rsidRDefault="006B5E90">
            <w:pPr>
              <w:jc w:val="center"/>
              <w:rPr>
                <w:rFonts w:ascii="Script MT Bold" w:hAnsi="Script MT Bold"/>
                <w:sz w:val="24"/>
                <w:szCs w:val="24"/>
              </w:rPr>
            </w:pPr>
          </w:p>
          <w:p w:rsidR="006B5E90" w:rsidRDefault="006B5E90">
            <w:pPr>
              <w:jc w:val="center"/>
              <w:rPr>
                <w:rFonts w:ascii="Script MT Bold" w:hAnsi="Script MT Bold"/>
              </w:rPr>
            </w:pPr>
          </w:p>
          <w:p w:rsidR="006B5E90" w:rsidRDefault="006B5E90">
            <w:pPr>
              <w:jc w:val="center"/>
              <w:rPr>
                <w:rFonts w:ascii="Script MT Bold" w:hAnsi="Script MT Bold"/>
              </w:rPr>
            </w:pPr>
          </w:p>
          <w:p w:rsidR="006B5E90" w:rsidRDefault="006B5E90">
            <w:pPr>
              <w:jc w:val="center"/>
              <w:rPr>
                <w:rFonts w:ascii="Script MT Bold" w:hAnsi="Script MT Bold"/>
              </w:rPr>
            </w:pPr>
          </w:p>
          <w:p w:rsidR="006B5E90" w:rsidRDefault="006B5E90">
            <w:pPr>
              <w:jc w:val="center"/>
              <w:rPr>
                <w:rFonts w:ascii="Script MT Bold" w:hAnsi="Script MT Bold"/>
              </w:rPr>
            </w:pPr>
          </w:p>
          <w:p w:rsidR="006B5E90" w:rsidRDefault="006B5E90">
            <w:pPr>
              <w:jc w:val="center"/>
              <w:rPr>
                <w:rFonts w:ascii="Script MT Bold" w:hAnsi="Script MT Bold"/>
              </w:rPr>
            </w:pPr>
          </w:p>
          <w:p w:rsidR="006B5E90" w:rsidRDefault="006B5E90">
            <w:pPr>
              <w:jc w:val="center"/>
              <w:rPr>
                <w:rFonts w:ascii="Script MT Bold" w:hAnsi="Script MT Bold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0" w:rsidRDefault="006B5E90">
            <w:pPr>
              <w:jc w:val="center"/>
              <w:rPr>
                <w:rFonts w:ascii="Script MT Bold" w:hAnsi="Script MT Bold"/>
                <w:sz w:val="24"/>
                <w:szCs w:val="24"/>
              </w:rPr>
            </w:pPr>
          </w:p>
        </w:tc>
      </w:tr>
    </w:tbl>
    <w:p w:rsidR="006B5E90" w:rsidRDefault="006B5E90" w:rsidP="006B5E90">
      <w:pPr>
        <w:ind w:left="360"/>
        <w:jc w:val="center"/>
        <w:rPr>
          <w:rFonts w:ascii="Script MT Bold" w:hAnsi="Script MT Bold"/>
        </w:rPr>
      </w:pPr>
    </w:p>
    <w:p w:rsidR="004A3398" w:rsidRDefault="004A3398" w:rsidP="006B5E90">
      <w:pPr>
        <w:ind w:left="360"/>
        <w:jc w:val="center"/>
        <w:rPr>
          <w:rFonts w:ascii="Script MT Bold" w:hAnsi="Script MT Bold"/>
        </w:rPr>
      </w:pPr>
    </w:p>
    <w:p w:rsidR="004A3398" w:rsidRDefault="004A3398" w:rsidP="006B5E90">
      <w:pPr>
        <w:ind w:left="360"/>
        <w:jc w:val="center"/>
        <w:rPr>
          <w:rFonts w:ascii="Script MT Bold" w:hAnsi="Script MT Bold"/>
        </w:rPr>
      </w:pPr>
    </w:p>
    <w:p w:rsidR="004A3398" w:rsidRDefault="004A3398" w:rsidP="006B5E90">
      <w:pPr>
        <w:ind w:left="360"/>
        <w:jc w:val="center"/>
        <w:rPr>
          <w:rFonts w:ascii="Script MT Bold" w:hAnsi="Script MT Bold"/>
        </w:rPr>
      </w:pPr>
    </w:p>
    <w:p w:rsidR="004A3398" w:rsidRDefault="004A3398" w:rsidP="006B5E90">
      <w:pPr>
        <w:ind w:left="360"/>
        <w:jc w:val="center"/>
        <w:rPr>
          <w:rFonts w:ascii="Script MT Bold" w:hAnsi="Script MT Bold"/>
        </w:rPr>
      </w:pPr>
    </w:p>
    <w:p w:rsidR="006B5E90" w:rsidRDefault="006B5E90" w:rsidP="006B5E90"/>
    <w:p w:rsidR="006B5E90" w:rsidRDefault="006B5E90" w:rsidP="006B5E90"/>
    <w:p w:rsidR="006B5E90" w:rsidRDefault="006B5E90" w:rsidP="006B5E90">
      <w:bookmarkStart w:id="0" w:name="_GoBack"/>
      <w:bookmarkEnd w:id="0"/>
    </w:p>
    <w:sectPr w:rsidR="006B5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ickley Script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32156"/>
    <w:multiLevelType w:val="hybridMultilevel"/>
    <w:tmpl w:val="92CAC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DC7750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90"/>
    <w:rsid w:val="00183B45"/>
    <w:rsid w:val="004A3398"/>
    <w:rsid w:val="005178E5"/>
    <w:rsid w:val="006B5E90"/>
    <w:rsid w:val="00A94D67"/>
    <w:rsid w:val="00B830AD"/>
    <w:rsid w:val="00BF37B5"/>
    <w:rsid w:val="00EA6A39"/>
    <w:rsid w:val="00EE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Perez, Jennifer J.</dc:creator>
  <cp:lastModifiedBy>Perez, Jennifer J.</cp:lastModifiedBy>
  <cp:revision>3</cp:revision>
  <dcterms:created xsi:type="dcterms:W3CDTF">2014-10-01T13:41:00Z</dcterms:created>
  <dcterms:modified xsi:type="dcterms:W3CDTF">2015-10-23T13:56:00Z</dcterms:modified>
</cp:coreProperties>
</file>